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6" w14:textId="590D500D" w:rsidR="009B6F95" w:rsidRPr="00C803F3" w:rsidRDefault="009541C9" w:rsidP="009B6F95">
      <w:pPr>
        <w:pStyle w:val="Title1"/>
      </w:pPr>
      <w:r>
        <w:t xml:space="preserve">Raising the </w:t>
      </w:r>
      <w:r w:rsidR="00B51DF7">
        <w:t>Age of Criminal Responsibility</w:t>
      </w:r>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BB10D26" w:rsidR="00795C95" w:rsidRDefault="00B154AF"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1AD7DF" w14:textId="5C032490" w:rsidR="007E268E" w:rsidRDefault="007E268E" w:rsidP="007E268E">
      <w:pPr>
        <w:ind w:left="0" w:firstLine="0"/>
      </w:pPr>
      <w:r>
        <w:t>The age of criminal responsibility (ACR) refers to the minimum age that a child can be prosecuted and punished by law for an offence. England, Wales and Northern Ireland have one of the lowest ACRs in the world at age 10. Campaigners have been calling for the ACR to be raised to reflect international standards and research around child development.</w:t>
      </w:r>
    </w:p>
    <w:p w14:paraId="3FA2C2B6" w14:textId="37034E5A" w:rsidR="007E268E" w:rsidRPr="00464652" w:rsidRDefault="40B4D2BC" w:rsidP="007E268E">
      <w:pPr>
        <w:ind w:left="0" w:firstLine="0"/>
      </w:pPr>
      <w:r>
        <w:t xml:space="preserve">This paper asks </w:t>
      </w:r>
      <w:r w:rsidR="006A7B35">
        <w:t>the Children and Young People Board</w:t>
      </w:r>
      <w:r>
        <w:t xml:space="preserve"> to agree an LGA position on raising the ACR.</w:t>
      </w:r>
    </w:p>
    <w:p w14:paraId="5837A19D" w14:textId="18D94A10" w:rsidR="009B6F95" w:rsidRDefault="009B6F95" w:rsidP="00A73C31">
      <w:pPr>
        <w:pStyle w:val="Title3"/>
        <w:ind w:left="0" w:firstLine="0"/>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B57AC3" w:rsidRDefault="00B57AC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713BEBB" w:rsidR="00B57AC3" w:rsidRPr="00A627DD" w:rsidRDefault="00B57AC3" w:rsidP="00B84F31">
                                <w:pPr>
                                  <w:ind w:left="0" w:firstLine="0"/>
                                </w:pPr>
                                <w:r w:rsidRPr="00C803F3">
                                  <w:rPr>
                                    <w:rStyle w:val="Style6"/>
                                  </w:rPr>
                                  <w:t>Recommendation</w:t>
                                </w:r>
                              </w:p>
                            </w:sdtContent>
                          </w:sdt>
                          <w:p w14:paraId="4DD187D6" w14:textId="4A5C3F7F" w:rsidR="00B57AC3" w:rsidRPr="00A73C31" w:rsidRDefault="00B57AC3" w:rsidP="00CB3D37">
                            <w:pPr>
                              <w:pStyle w:val="Title3"/>
                              <w:ind w:left="0" w:firstLine="0"/>
                            </w:pPr>
                            <w:r>
                              <w:t xml:space="preserve">That members </w:t>
                            </w:r>
                            <w:r w:rsidR="00F00C03">
                              <w:t>agree that the LGA supports calls to raise the age of criminal responsibility to at least 12.</w:t>
                            </w:r>
                          </w:p>
                          <w:p w14:paraId="5837A1DF" w14:textId="2E736823" w:rsidR="00B57AC3" w:rsidRPr="00A627DD" w:rsidRDefault="009B412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57AC3" w:rsidRPr="00C803F3">
                                  <w:rPr>
                                    <w:rStyle w:val="Style6"/>
                                  </w:rPr>
                                  <w:t>Action</w:t>
                                </w:r>
                              </w:sdtContent>
                            </w:sdt>
                          </w:p>
                          <w:p w14:paraId="5837A1E0" w14:textId="32E01E83" w:rsidR="00B57AC3" w:rsidRPr="00B84F31" w:rsidRDefault="00B57AC3" w:rsidP="00B84F31">
                            <w:pPr>
                              <w:pStyle w:val="Title3"/>
                              <w:ind w:left="0" w:firstLine="0"/>
                            </w:pPr>
                            <w:r>
                              <w:t xml:space="preserve">Officers to </w:t>
                            </w:r>
                            <w:r w:rsidR="001F2CB9">
                              <w:t>use the LGA’s agreed position in future work with the Government.</w:t>
                            </w:r>
                          </w:p>
                          <w:p w14:paraId="5837A1E1" w14:textId="77777777" w:rsidR="00B57AC3" w:rsidRDefault="00B5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B57AC3" w:rsidRDefault="00B57AC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713BEBB" w:rsidR="00B57AC3" w:rsidRPr="00A627DD" w:rsidRDefault="00B57AC3" w:rsidP="00B84F31">
                          <w:pPr>
                            <w:ind w:left="0" w:firstLine="0"/>
                          </w:pPr>
                          <w:r w:rsidRPr="00C803F3">
                            <w:rPr>
                              <w:rStyle w:val="Style6"/>
                            </w:rPr>
                            <w:t>Recommendation</w:t>
                          </w:r>
                        </w:p>
                      </w:sdtContent>
                    </w:sdt>
                    <w:p w14:paraId="4DD187D6" w14:textId="4A5C3F7F" w:rsidR="00B57AC3" w:rsidRPr="00A73C31" w:rsidRDefault="00B57AC3" w:rsidP="00CB3D37">
                      <w:pPr>
                        <w:pStyle w:val="Title3"/>
                        <w:ind w:left="0" w:firstLine="0"/>
                      </w:pPr>
                      <w:r>
                        <w:t xml:space="preserve">That members </w:t>
                      </w:r>
                      <w:r w:rsidR="00F00C03">
                        <w:t>agree that the LGA supports calls to raise the age of criminal responsibility to at least 12.</w:t>
                      </w:r>
                    </w:p>
                    <w:p w14:paraId="5837A1DF" w14:textId="2E736823" w:rsidR="00B57AC3" w:rsidRPr="00A627DD" w:rsidRDefault="005E23F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57AC3" w:rsidRPr="00C803F3">
                            <w:rPr>
                              <w:rStyle w:val="Style6"/>
                            </w:rPr>
                            <w:t>Action</w:t>
                          </w:r>
                        </w:sdtContent>
                      </w:sdt>
                    </w:p>
                    <w:p w14:paraId="5837A1E0" w14:textId="32E01E83" w:rsidR="00B57AC3" w:rsidRPr="00B84F31" w:rsidRDefault="00B57AC3" w:rsidP="00B84F31">
                      <w:pPr>
                        <w:pStyle w:val="Title3"/>
                        <w:ind w:left="0" w:firstLine="0"/>
                      </w:pPr>
                      <w:r>
                        <w:t xml:space="preserve">Officers to </w:t>
                      </w:r>
                      <w:r w:rsidR="001F2CB9">
                        <w:t>use the LGA’s agreed position in future work with the Government.</w:t>
                      </w:r>
                    </w:p>
                    <w:p w14:paraId="5837A1E1" w14:textId="77777777" w:rsidR="00B57AC3" w:rsidRDefault="00B57AC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8" w14:textId="08C08895" w:rsidR="009B6F95" w:rsidRPr="00C803F3" w:rsidRDefault="009B412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73C31">
            <w:t>Louise Smith</w:t>
          </w:r>
        </w:sdtContent>
      </w:sdt>
    </w:p>
    <w:p w14:paraId="5837A1A9" w14:textId="4028ECAC" w:rsidR="009B6F95" w:rsidRDefault="009B412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73C31">
            <w:t>Senior Adviser – Children and Young People</w:t>
          </w:r>
        </w:sdtContent>
      </w:sdt>
    </w:p>
    <w:p w14:paraId="5837A1AA" w14:textId="2239EB86" w:rsidR="009B6F95" w:rsidRDefault="009B412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A73C31">
            <w:t>3664 3163</w:t>
          </w:r>
        </w:sdtContent>
      </w:sdt>
      <w:r w:rsidR="009B6F95" w:rsidRPr="00B5377C">
        <w:t xml:space="preserve"> </w:t>
      </w:r>
    </w:p>
    <w:p w14:paraId="5837A1AB" w14:textId="79EEA91D" w:rsidR="009B6F95" w:rsidRDefault="009B412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73C31">
            <w:t>louise.smith</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20586E26" w14:textId="79BB9220" w:rsidR="009B6F95" w:rsidRPr="00C803F3" w:rsidRDefault="00CB3D37" w:rsidP="00205859">
      <w:r>
        <w:br w:type="page"/>
      </w:r>
    </w:p>
    <w:p w14:paraId="5CF74E2D" w14:textId="67141174" w:rsidR="00A53AB9" w:rsidRPr="00A53AB9" w:rsidRDefault="00A53AB9" w:rsidP="000F69FB">
      <w:pPr>
        <w:rPr>
          <w:rStyle w:val="Style6"/>
          <w:sz w:val="28"/>
          <w:szCs w:val="28"/>
        </w:rPr>
      </w:pPr>
      <w:r w:rsidRPr="00A53AB9">
        <w:rPr>
          <w:rStyle w:val="Style6"/>
          <w:sz w:val="28"/>
          <w:szCs w:val="28"/>
        </w:rPr>
        <w:lastRenderedPageBreak/>
        <w:t>Raising the Age of Criminal Responsibi</w:t>
      </w:r>
      <w:bookmarkStart w:id="0" w:name="_GoBack"/>
      <w:bookmarkEnd w:id="0"/>
      <w:r w:rsidRPr="00A53AB9">
        <w:rPr>
          <w:rStyle w:val="Style6"/>
          <w:sz w:val="28"/>
          <w:szCs w:val="28"/>
        </w:rPr>
        <w:t xml:space="preserve">lity </w:t>
      </w:r>
    </w:p>
    <w:p w14:paraId="5837A1B4" w14:textId="77777777" w:rsidR="009B6F95" w:rsidRPr="00C803F3" w:rsidRDefault="009B412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5DCBFA1" w14:textId="2DD007BD" w:rsidR="00EB7F18" w:rsidRDefault="00464652" w:rsidP="00EB7F18">
      <w:pPr>
        <w:pStyle w:val="ListParagraph"/>
      </w:pPr>
      <w:r>
        <w:t>The age of criminal responsibility (ACR) refers to the minimum age that a child can be prosecuted and punished by law for an offence</w:t>
      </w:r>
      <w:r w:rsidR="00432EE1">
        <w:t>. In England, Wales and Northern Ireland, this is 10.</w:t>
      </w:r>
      <w:r w:rsidR="00A73644">
        <w:t xml:space="preserve"> </w:t>
      </w:r>
      <w:r w:rsidR="00EB7F18">
        <w:t xml:space="preserve">In Scotland, </w:t>
      </w:r>
      <w:r w:rsidR="00EB7F18" w:rsidRPr="00EB7F18">
        <w:t>Age of Criminal Responsibility (Scotland) Act 2019</w:t>
      </w:r>
      <w:r w:rsidR="00EB7F18">
        <w:t xml:space="preserve"> raised the ACR from 8 to 12.</w:t>
      </w:r>
    </w:p>
    <w:p w14:paraId="3CE4AFA4" w14:textId="77777777" w:rsidR="00736D7C" w:rsidRDefault="00736D7C" w:rsidP="00736D7C">
      <w:pPr>
        <w:pStyle w:val="ListParagraph"/>
        <w:numPr>
          <w:ilvl w:val="0"/>
          <w:numId w:val="0"/>
        </w:numPr>
        <w:ind w:left="360"/>
      </w:pPr>
    </w:p>
    <w:p w14:paraId="48E91D53" w14:textId="079F2BA7" w:rsidR="00464652" w:rsidRDefault="00F769BF" w:rsidP="00464652">
      <w:pPr>
        <w:pStyle w:val="ListParagraph"/>
      </w:pPr>
      <w:r>
        <w:t>England</w:t>
      </w:r>
      <w:r w:rsidR="00FE65E6">
        <w:t xml:space="preserve"> </w:t>
      </w:r>
      <w:r>
        <w:t>has one of the lowest ACRs in the worl</w:t>
      </w:r>
      <w:r w:rsidR="008E5258">
        <w:t xml:space="preserve">d. Campaigners have been calling for the ACR to be raised to reflect </w:t>
      </w:r>
      <w:r w:rsidR="00A45EFC">
        <w:t xml:space="preserve">international standards and </w:t>
      </w:r>
      <w:r w:rsidR="00C463DA">
        <w:t>research around child development.</w:t>
      </w:r>
    </w:p>
    <w:p w14:paraId="0EDB3B58" w14:textId="77777777" w:rsidR="00F00C03" w:rsidRDefault="00F00C03" w:rsidP="00F00C03">
      <w:pPr>
        <w:pStyle w:val="ListParagraph"/>
        <w:numPr>
          <w:ilvl w:val="0"/>
          <w:numId w:val="0"/>
        </w:numPr>
        <w:ind w:left="360"/>
      </w:pPr>
    </w:p>
    <w:p w14:paraId="45CB9B32" w14:textId="0B246A5A" w:rsidR="00C463DA" w:rsidRPr="00464652" w:rsidRDefault="00C463DA" w:rsidP="00464652">
      <w:pPr>
        <w:pStyle w:val="ListParagraph"/>
      </w:pPr>
      <w:r>
        <w:t xml:space="preserve">This paper </w:t>
      </w:r>
      <w:r w:rsidR="00F00C03">
        <w:t xml:space="preserve">asks members to agree </w:t>
      </w:r>
      <w:r w:rsidR="009541C9">
        <w:t xml:space="preserve">whether </w:t>
      </w:r>
      <w:r w:rsidR="00F00C03">
        <w:t>the LGA</w:t>
      </w:r>
      <w:r w:rsidR="009541C9">
        <w:t xml:space="preserve"> wishes to support</w:t>
      </w:r>
      <w:r w:rsidR="00B3174D">
        <w:t xml:space="preserve"> these calls to</w:t>
      </w:r>
      <w:r w:rsidR="00F00C03">
        <w:t xml:space="preserve"> rais</w:t>
      </w:r>
      <w:r w:rsidR="00B3174D">
        <w:t>e</w:t>
      </w:r>
      <w:r w:rsidR="00F00C03">
        <w:t xml:space="preserve"> the ACR.</w:t>
      </w:r>
    </w:p>
    <w:p w14:paraId="5837A1B7" w14:textId="056EA8A6" w:rsidR="009B6F95" w:rsidRPr="00C803F3" w:rsidRDefault="009B4128" w:rsidP="00464652">
      <w:pPr>
        <w:ind w:left="0" w:firstLine="0"/>
        <w:rPr>
          <w:rStyle w:val="ReportTemplate"/>
        </w:rPr>
      </w:pPr>
      <w:sdt>
        <w:sdtPr>
          <w:rPr>
            <w:rStyle w:val="Style6"/>
          </w:rPr>
          <w:alias w:val="Issues"/>
          <w:tag w:val="Issues"/>
          <w:id w:val="-1684430981"/>
          <w:placeholder>
            <w:docPart w:val="1444C70DB0544F7FA5791133FDBCBD91"/>
          </w:placeholder>
        </w:sdtPr>
        <w:sdtEndPr>
          <w:rPr>
            <w:rStyle w:val="Style6"/>
          </w:rPr>
        </w:sdtEndPr>
        <w:sdtContent>
          <w:r w:rsidR="00614D8E">
            <w:rPr>
              <w:rStyle w:val="Style6"/>
            </w:rPr>
            <w:t>Policy Context</w:t>
          </w:r>
        </w:sdtContent>
      </w:sdt>
    </w:p>
    <w:p w14:paraId="1C28CD90" w14:textId="72375EB2" w:rsidR="00782445" w:rsidRDefault="00782445" w:rsidP="00B57AC3">
      <w:pPr>
        <w:pStyle w:val="ListParagraph"/>
        <w:rPr>
          <w:rStyle w:val="ReportTemplate"/>
        </w:rPr>
      </w:pPr>
      <w:r w:rsidRPr="00782445">
        <w:rPr>
          <w:rStyle w:val="ReportTemplate"/>
        </w:rPr>
        <w:t>The United Nations Convention on the Rights of the Child</w:t>
      </w:r>
      <w:r w:rsidR="00B37D32">
        <w:rPr>
          <w:rStyle w:val="ReportTemplate"/>
        </w:rPr>
        <w:t>, which was ratified by the UK government in 1991,</w:t>
      </w:r>
      <w:r w:rsidRPr="00782445">
        <w:rPr>
          <w:rStyle w:val="ReportTemplate"/>
        </w:rPr>
        <w:t xml:space="preserve"> calls upon states parties to establish a minimum age "below which children shall be presumed not to have the capacity to infringe the penal law". The UN Committee on the Rights of the Child recommend</w:t>
      </w:r>
      <w:r w:rsidR="00890C1E">
        <w:rPr>
          <w:rStyle w:val="ReportTemplate"/>
        </w:rPr>
        <w:t>ed in 2007 that</w:t>
      </w:r>
      <w:r w:rsidRPr="00782445">
        <w:rPr>
          <w:rStyle w:val="ReportTemplate"/>
        </w:rPr>
        <w:t xml:space="preserve"> states set this minimum age at 12 or higher</w:t>
      </w:r>
      <w:r w:rsidR="00AC48F3">
        <w:rPr>
          <w:rStyle w:val="EndnoteReference"/>
        </w:rPr>
        <w:endnoteReference w:id="1"/>
      </w:r>
      <w:r w:rsidR="00890C1E">
        <w:rPr>
          <w:rStyle w:val="ReportTemplate"/>
        </w:rPr>
        <w:t xml:space="preserve">; in 2019, it </w:t>
      </w:r>
      <w:r w:rsidR="00F65944">
        <w:rPr>
          <w:rStyle w:val="ReportTemplate"/>
        </w:rPr>
        <w:t xml:space="preserve">launched a consultation on </w:t>
      </w:r>
      <w:r w:rsidR="00890C1E">
        <w:rPr>
          <w:rStyle w:val="ReportTemplate"/>
        </w:rPr>
        <w:t>revis</w:t>
      </w:r>
      <w:r w:rsidR="00F65944">
        <w:rPr>
          <w:rStyle w:val="ReportTemplate"/>
        </w:rPr>
        <w:t>ing</w:t>
      </w:r>
      <w:r w:rsidR="00890C1E">
        <w:rPr>
          <w:rStyle w:val="ReportTemplate"/>
        </w:rPr>
        <w:t xml:space="preserve"> this recommendation to a minimum age of</w:t>
      </w:r>
      <w:r w:rsidR="00F65944">
        <w:rPr>
          <w:rStyle w:val="ReportTemplate"/>
        </w:rPr>
        <w:t xml:space="preserve"> at least</w:t>
      </w:r>
      <w:r w:rsidR="00890C1E">
        <w:rPr>
          <w:rStyle w:val="ReportTemplate"/>
        </w:rPr>
        <w:t xml:space="preserve"> </w:t>
      </w:r>
      <w:r w:rsidR="003A55BD">
        <w:rPr>
          <w:rStyle w:val="ReportTemplate"/>
        </w:rPr>
        <w:t>14.</w:t>
      </w:r>
      <w:r w:rsidR="007838C6">
        <w:rPr>
          <w:rStyle w:val="EndnoteReference"/>
        </w:rPr>
        <w:endnoteReference w:id="2"/>
      </w:r>
    </w:p>
    <w:p w14:paraId="5ACB9F70" w14:textId="77777777" w:rsidR="00EE4B01" w:rsidRDefault="00EE4B01" w:rsidP="00EE4B01">
      <w:pPr>
        <w:pStyle w:val="ListParagraph"/>
        <w:numPr>
          <w:ilvl w:val="0"/>
          <w:numId w:val="0"/>
        </w:numPr>
        <w:ind w:left="360"/>
        <w:rPr>
          <w:rStyle w:val="ReportTemplate"/>
        </w:rPr>
      </w:pPr>
    </w:p>
    <w:p w14:paraId="2EC41A8E" w14:textId="51DD0187" w:rsidR="004A5056" w:rsidRDefault="004A5056" w:rsidP="00B57AC3">
      <w:pPr>
        <w:pStyle w:val="ListParagraph"/>
        <w:rPr>
          <w:rStyle w:val="ReportTemplate"/>
        </w:rPr>
      </w:pPr>
      <w:r>
        <w:rPr>
          <w:rStyle w:val="ReportTemplate"/>
        </w:rPr>
        <w:t xml:space="preserve">England </w:t>
      </w:r>
      <w:r w:rsidR="00EE4B01">
        <w:rPr>
          <w:rStyle w:val="ReportTemplate"/>
        </w:rPr>
        <w:t xml:space="preserve">currently </w:t>
      </w:r>
      <w:r>
        <w:rPr>
          <w:rStyle w:val="ReportTemplate"/>
        </w:rPr>
        <w:t>has one of the lowest ACRs in the world</w:t>
      </w:r>
      <w:r w:rsidR="00EE4B01">
        <w:rPr>
          <w:rStyle w:val="ReportTemplate"/>
        </w:rPr>
        <w:t>:</w:t>
      </w:r>
    </w:p>
    <w:tbl>
      <w:tblPr>
        <w:tblStyle w:val="TableGrid"/>
        <w:tblW w:w="0" w:type="auto"/>
        <w:tblInd w:w="717" w:type="dxa"/>
        <w:tblLook w:val="04A0" w:firstRow="1" w:lastRow="0" w:firstColumn="1" w:lastColumn="0" w:noHBand="0" w:noVBand="1"/>
      </w:tblPr>
      <w:tblGrid>
        <w:gridCol w:w="2113"/>
        <w:gridCol w:w="6186"/>
      </w:tblGrid>
      <w:tr w:rsidR="00EE4B01" w14:paraId="6383C1CB" w14:textId="77777777" w:rsidTr="001672CD">
        <w:tc>
          <w:tcPr>
            <w:tcW w:w="2113" w:type="dxa"/>
            <w:shd w:val="clear" w:color="auto" w:fill="FBE4D5" w:themeFill="accent2" w:themeFillTint="33"/>
          </w:tcPr>
          <w:p w14:paraId="05E77ADF" w14:textId="240E603C" w:rsidR="00EE4B01" w:rsidRDefault="00EE4B01" w:rsidP="00EE4B01">
            <w:pPr>
              <w:ind w:left="0" w:firstLine="0"/>
              <w:rPr>
                <w:rStyle w:val="ReportTemplate"/>
              </w:rPr>
            </w:pPr>
            <w:r>
              <w:rPr>
                <w:rStyle w:val="ReportTemplate"/>
              </w:rPr>
              <w:t>Country</w:t>
            </w:r>
          </w:p>
        </w:tc>
        <w:tc>
          <w:tcPr>
            <w:tcW w:w="6186" w:type="dxa"/>
            <w:shd w:val="clear" w:color="auto" w:fill="FBE4D5" w:themeFill="accent2" w:themeFillTint="33"/>
          </w:tcPr>
          <w:p w14:paraId="1C61804D" w14:textId="5C990861" w:rsidR="00EE4B01" w:rsidRDefault="00EE4B01" w:rsidP="00EE4B01">
            <w:pPr>
              <w:ind w:left="0" w:firstLine="0"/>
              <w:rPr>
                <w:rStyle w:val="ReportTemplate"/>
              </w:rPr>
            </w:pPr>
            <w:r>
              <w:rPr>
                <w:rStyle w:val="ReportTemplate"/>
              </w:rPr>
              <w:t>Age of Criminal Responsibility</w:t>
            </w:r>
          </w:p>
        </w:tc>
      </w:tr>
      <w:tr w:rsidR="005817E6" w14:paraId="3E713466" w14:textId="77777777" w:rsidTr="001672CD">
        <w:tc>
          <w:tcPr>
            <w:tcW w:w="2113" w:type="dxa"/>
          </w:tcPr>
          <w:p w14:paraId="5ACF0BB4" w14:textId="3BD2C9B4" w:rsidR="005817E6" w:rsidRDefault="005817E6" w:rsidP="00EE4B01">
            <w:pPr>
              <w:ind w:left="0" w:firstLine="0"/>
              <w:rPr>
                <w:rStyle w:val="ReportTemplate"/>
              </w:rPr>
            </w:pPr>
            <w:r>
              <w:rPr>
                <w:rStyle w:val="ReportTemplate"/>
              </w:rPr>
              <w:t>Ireland</w:t>
            </w:r>
          </w:p>
        </w:tc>
        <w:tc>
          <w:tcPr>
            <w:tcW w:w="6186" w:type="dxa"/>
          </w:tcPr>
          <w:p w14:paraId="5400D17B" w14:textId="3FF91056" w:rsidR="005817E6" w:rsidRDefault="005817E6" w:rsidP="00EE4B01">
            <w:pPr>
              <w:ind w:left="0" w:firstLine="0"/>
              <w:rPr>
                <w:rStyle w:val="ReportTemplate"/>
              </w:rPr>
            </w:pPr>
            <w:r>
              <w:rPr>
                <w:rStyle w:val="ReportTemplate"/>
              </w:rPr>
              <w:t>12</w:t>
            </w:r>
            <w:r w:rsidRPr="005817E6">
              <w:rPr>
                <w:rStyle w:val="ReportTemplate"/>
              </w:rPr>
              <w:t xml:space="preserve"> </w:t>
            </w:r>
            <w:r>
              <w:rPr>
                <w:rStyle w:val="ReportTemplate"/>
              </w:rPr>
              <w:t>(though</w:t>
            </w:r>
            <w:r w:rsidRPr="005817E6">
              <w:rPr>
                <w:rStyle w:val="ReportTemplate"/>
              </w:rPr>
              <w:t xml:space="preserve"> children aged 10 or 11 can be held criminally liable</w:t>
            </w:r>
            <w:r>
              <w:rPr>
                <w:rStyle w:val="ReportTemplate"/>
              </w:rPr>
              <w:t xml:space="preserve"> for very serious crimes including murder</w:t>
            </w:r>
            <w:r w:rsidR="00BD50CE">
              <w:rPr>
                <w:rStyle w:val="ReportTemplate"/>
              </w:rPr>
              <w:t xml:space="preserve"> and rape)</w:t>
            </w:r>
          </w:p>
        </w:tc>
      </w:tr>
      <w:tr w:rsidR="00EE4B01" w14:paraId="7CD4F29A" w14:textId="77777777" w:rsidTr="001672CD">
        <w:tc>
          <w:tcPr>
            <w:tcW w:w="2113" w:type="dxa"/>
          </w:tcPr>
          <w:p w14:paraId="50AE6EF3" w14:textId="10556C3E" w:rsidR="00EE4B01" w:rsidRDefault="00E55AC9" w:rsidP="00EE4B01">
            <w:pPr>
              <w:ind w:left="0" w:firstLine="0"/>
              <w:rPr>
                <w:rStyle w:val="ReportTemplate"/>
              </w:rPr>
            </w:pPr>
            <w:r>
              <w:rPr>
                <w:rStyle w:val="ReportTemplate"/>
              </w:rPr>
              <w:t>Germany</w:t>
            </w:r>
          </w:p>
        </w:tc>
        <w:tc>
          <w:tcPr>
            <w:tcW w:w="6186" w:type="dxa"/>
          </w:tcPr>
          <w:p w14:paraId="4EE330D3" w14:textId="77FAC70F" w:rsidR="00EE4B01" w:rsidRDefault="00E55AC9" w:rsidP="00EE4B01">
            <w:pPr>
              <w:ind w:left="0" w:firstLine="0"/>
              <w:rPr>
                <w:rStyle w:val="ReportTemplate"/>
              </w:rPr>
            </w:pPr>
            <w:r>
              <w:rPr>
                <w:rStyle w:val="ReportTemplate"/>
              </w:rPr>
              <w:t>14</w:t>
            </w:r>
            <w:r w:rsidR="00025BDD">
              <w:rPr>
                <w:rStyle w:val="ReportTemplate"/>
              </w:rPr>
              <w:t xml:space="preserve"> (if </w:t>
            </w:r>
            <w:r w:rsidR="00AC56C2">
              <w:rPr>
                <w:rStyle w:val="ReportTemplate"/>
              </w:rPr>
              <w:t>‘</w:t>
            </w:r>
            <w:r w:rsidR="00AC56C2" w:rsidRPr="00AC56C2">
              <w:rPr>
                <w:rStyle w:val="ReportTemplate"/>
              </w:rPr>
              <w:t>morally and mentally mature</w:t>
            </w:r>
            <w:r w:rsidR="00AC56C2">
              <w:rPr>
                <w:rStyle w:val="ReportTemplate"/>
              </w:rPr>
              <w:t>’</w:t>
            </w:r>
            <w:r w:rsidR="00AC56C2" w:rsidRPr="00AC56C2">
              <w:rPr>
                <w:rStyle w:val="ReportTemplate"/>
              </w:rPr>
              <w:t xml:space="preserve"> when the offence took place</w:t>
            </w:r>
            <w:r w:rsidR="00AC56C2">
              <w:rPr>
                <w:rStyle w:val="ReportTemplate"/>
              </w:rPr>
              <w:t>)</w:t>
            </w:r>
          </w:p>
        </w:tc>
      </w:tr>
      <w:tr w:rsidR="00EE4B01" w14:paraId="6113614E" w14:textId="77777777" w:rsidTr="001672CD">
        <w:tc>
          <w:tcPr>
            <w:tcW w:w="2113" w:type="dxa"/>
          </w:tcPr>
          <w:p w14:paraId="106C09FD" w14:textId="210BE040" w:rsidR="00EE4B01" w:rsidRDefault="00AC340B" w:rsidP="00EE4B01">
            <w:pPr>
              <w:ind w:left="0" w:firstLine="0"/>
              <w:rPr>
                <w:rStyle w:val="ReportTemplate"/>
              </w:rPr>
            </w:pPr>
            <w:r>
              <w:rPr>
                <w:rStyle w:val="ReportTemplate"/>
              </w:rPr>
              <w:t>Sweden</w:t>
            </w:r>
          </w:p>
        </w:tc>
        <w:tc>
          <w:tcPr>
            <w:tcW w:w="6186" w:type="dxa"/>
          </w:tcPr>
          <w:p w14:paraId="1BC7F51F" w14:textId="29AFC47F" w:rsidR="00EE4B01" w:rsidRDefault="00AC340B" w:rsidP="00EE4B01">
            <w:pPr>
              <w:ind w:left="0" w:firstLine="0"/>
              <w:rPr>
                <w:rStyle w:val="ReportTemplate"/>
              </w:rPr>
            </w:pPr>
            <w:r>
              <w:rPr>
                <w:rStyle w:val="ReportTemplate"/>
              </w:rPr>
              <w:t>15</w:t>
            </w:r>
          </w:p>
        </w:tc>
      </w:tr>
      <w:tr w:rsidR="00EE4B01" w14:paraId="798C48C5" w14:textId="77777777" w:rsidTr="001672CD">
        <w:tc>
          <w:tcPr>
            <w:tcW w:w="2113" w:type="dxa"/>
          </w:tcPr>
          <w:p w14:paraId="3F88CC45" w14:textId="756D0C32" w:rsidR="00EE4B01" w:rsidRDefault="001E269C" w:rsidP="00EE4B01">
            <w:pPr>
              <w:ind w:left="0" w:firstLine="0"/>
              <w:rPr>
                <w:rStyle w:val="ReportTemplate"/>
              </w:rPr>
            </w:pPr>
            <w:r>
              <w:rPr>
                <w:rStyle w:val="ReportTemplate"/>
              </w:rPr>
              <w:t xml:space="preserve">Italy </w:t>
            </w:r>
          </w:p>
        </w:tc>
        <w:tc>
          <w:tcPr>
            <w:tcW w:w="6186" w:type="dxa"/>
          </w:tcPr>
          <w:p w14:paraId="7E115239" w14:textId="3978F623" w:rsidR="00EE4B01" w:rsidRDefault="001E269C" w:rsidP="00EE4B01">
            <w:pPr>
              <w:ind w:left="0" w:firstLine="0"/>
              <w:rPr>
                <w:rStyle w:val="ReportTemplate"/>
              </w:rPr>
            </w:pPr>
            <w:r>
              <w:rPr>
                <w:rStyle w:val="ReportTemplate"/>
              </w:rPr>
              <w:t>14</w:t>
            </w:r>
            <w:r w:rsidR="005C589C">
              <w:rPr>
                <w:rStyle w:val="ReportTemplate"/>
              </w:rPr>
              <w:t xml:space="preserve"> (</w:t>
            </w:r>
            <w:r w:rsidR="005C589C" w:rsidRPr="005C589C">
              <w:rPr>
                <w:rStyle w:val="ReportTemplate"/>
              </w:rPr>
              <w:t>persons aged 14 to 17 (inclusive) can only be held criminally liable where they have been judged capable of forming the necessary criminal intent in relation to the specific offence</w:t>
            </w:r>
            <w:r w:rsidR="005C589C">
              <w:rPr>
                <w:rStyle w:val="ReportTemplate"/>
              </w:rPr>
              <w:t>)</w:t>
            </w:r>
          </w:p>
        </w:tc>
      </w:tr>
      <w:tr w:rsidR="00EE4B01" w14:paraId="184A7511" w14:textId="77777777" w:rsidTr="001672CD">
        <w:tc>
          <w:tcPr>
            <w:tcW w:w="2113" w:type="dxa"/>
          </w:tcPr>
          <w:p w14:paraId="15D09558" w14:textId="006B8DA5" w:rsidR="00EE4B01" w:rsidRDefault="001B3D81" w:rsidP="00EE4B01">
            <w:pPr>
              <w:ind w:left="0" w:firstLine="0"/>
              <w:rPr>
                <w:rStyle w:val="ReportTemplate"/>
              </w:rPr>
            </w:pPr>
            <w:r>
              <w:rPr>
                <w:rStyle w:val="ReportTemplate"/>
              </w:rPr>
              <w:t>Japan</w:t>
            </w:r>
          </w:p>
        </w:tc>
        <w:tc>
          <w:tcPr>
            <w:tcW w:w="6186" w:type="dxa"/>
          </w:tcPr>
          <w:p w14:paraId="7DFE1A78" w14:textId="71CD86CE" w:rsidR="00EE4B01" w:rsidRDefault="001B3D81" w:rsidP="00EE4B01">
            <w:pPr>
              <w:ind w:left="0" w:firstLine="0"/>
              <w:rPr>
                <w:rStyle w:val="ReportTemplate"/>
              </w:rPr>
            </w:pPr>
            <w:r>
              <w:rPr>
                <w:rStyle w:val="ReportTemplate"/>
              </w:rPr>
              <w:t>14</w:t>
            </w:r>
          </w:p>
        </w:tc>
      </w:tr>
      <w:tr w:rsidR="00EE4B01" w14:paraId="44772467" w14:textId="77777777" w:rsidTr="001672CD">
        <w:tc>
          <w:tcPr>
            <w:tcW w:w="2113" w:type="dxa"/>
          </w:tcPr>
          <w:p w14:paraId="7B79D03C" w14:textId="242B4286" w:rsidR="00EE4B01" w:rsidRDefault="001672CD" w:rsidP="00EE4B01">
            <w:pPr>
              <w:ind w:left="0" w:firstLine="0"/>
              <w:rPr>
                <w:rStyle w:val="ReportTemplate"/>
              </w:rPr>
            </w:pPr>
            <w:r>
              <w:rPr>
                <w:rStyle w:val="ReportTemplate"/>
              </w:rPr>
              <w:t>Australia</w:t>
            </w:r>
          </w:p>
        </w:tc>
        <w:tc>
          <w:tcPr>
            <w:tcW w:w="6186" w:type="dxa"/>
          </w:tcPr>
          <w:p w14:paraId="0B367D72" w14:textId="44C3BCB5" w:rsidR="00EE4B01" w:rsidRDefault="001672CD" w:rsidP="00EE4B01">
            <w:pPr>
              <w:ind w:left="0" w:firstLine="0"/>
              <w:rPr>
                <w:rStyle w:val="ReportTemplate"/>
              </w:rPr>
            </w:pPr>
            <w:r>
              <w:rPr>
                <w:rStyle w:val="ReportTemplate"/>
              </w:rPr>
              <w:t>10</w:t>
            </w:r>
          </w:p>
        </w:tc>
      </w:tr>
      <w:tr w:rsidR="00EE4B01" w14:paraId="48BEF08E" w14:textId="77777777" w:rsidTr="001672CD">
        <w:tc>
          <w:tcPr>
            <w:tcW w:w="2113" w:type="dxa"/>
          </w:tcPr>
          <w:p w14:paraId="29BC60C8" w14:textId="2F186489" w:rsidR="00EE4B01" w:rsidRDefault="00C06E79" w:rsidP="00EE4B01">
            <w:pPr>
              <w:ind w:left="0" w:firstLine="0"/>
              <w:rPr>
                <w:rStyle w:val="ReportTemplate"/>
              </w:rPr>
            </w:pPr>
            <w:r>
              <w:rPr>
                <w:rStyle w:val="ReportTemplate"/>
              </w:rPr>
              <w:t xml:space="preserve">China </w:t>
            </w:r>
          </w:p>
        </w:tc>
        <w:tc>
          <w:tcPr>
            <w:tcW w:w="6186" w:type="dxa"/>
          </w:tcPr>
          <w:p w14:paraId="3AD99892" w14:textId="7FA29600" w:rsidR="00EE4B01" w:rsidRDefault="00C06E79" w:rsidP="00EE4B01">
            <w:pPr>
              <w:ind w:left="0" w:firstLine="0"/>
              <w:rPr>
                <w:rStyle w:val="ReportTemplate"/>
              </w:rPr>
            </w:pPr>
            <w:r>
              <w:rPr>
                <w:rStyle w:val="ReportTemplate"/>
              </w:rPr>
              <w:t>14</w:t>
            </w:r>
          </w:p>
        </w:tc>
      </w:tr>
      <w:tr w:rsidR="00EE4B01" w14:paraId="44DD0BB5" w14:textId="77777777" w:rsidTr="001672CD">
        <w:tc>
          <w:tcPr>
            <w:tcW w:w="2113" w:type="dxa"/>
          </w:tcPr>
          <w:p w14:paraId="601F576B" w14:textId="6100C009" w:rsidR="00EE4B01" w:rsidRDefault="00C06E79" w:rsidP="00EE4B01">
            <w:pPr>
              <w:ind w:left="0" w:firstLine="0"/>
              <w:rPr>
                <w:rStyle w:val="ReportTemplate"/>
              </w:rPr>
            </w:pPr>
            <w:r>
              <w:rPr>
                <w:rStyle w:val="ReportTemplate"/>
              </w:rPr>
              <w:t>USA</w:t>
            </w:r>
          </w:p>
        </w:tc>
        <w:tc>
          <w:tcPr>
            <w:tcW w:w="6186" w:type="dxa"/>
          </w:tcPr>
          <w:p w14:paraId="2D6989ED" w14:textId="7569B185" w:rsidR="00EE4B01" w:rsidRDefault="00E34A4E" w:rsidP="00EE4B01">
            <w:pPr>
              <w:ind w:left="0" w:firstLine="0"/>
              <w:rPr>
                <w:rStyle w:val="ReportTemplate"/>
              </w:rPr>
            </w:pPr>
            <w:r>
              <w:rPr>
                <w:rStyle w:val="ReportTemplate"/>
              </w:rPr>
              <w:t xml:space="preserve">In </w:t>
            </w:r>
            <w:r w:rsidR="00A2243C" w:rsidRPr="00A2243C">
              <w:rPr>
                <w:rStyle w:val="ReportTemplate"/>
              </w:rPr>
              <w:t xml:space="preserve">33 states, there is no minimum age of criminal responsibility, according to the Child Rights International Network. In theory, that means a child of any age could be convicted and sentenced. Of the states that do have a minimum, North Carolina's is the lowest at seven years. </w:t>
            </w:r>
          </w:p>
        </w:tc>
      </w:tr>
    </w:tbl>
    <w:p w14:paraId="269075C8" w14:textId="0F16CF80" w:rsidR="00EE4B01" w:rsidRDefault="00EE4B01" w:rsidP="00EE4B01">
      <w:pPr>
        <w:ind w:left="717"/>
        <w:rPr>
          <w:rStyle w:val="ReportTemplate"/>
        </w:rPr>
      </w:pPr>
    </w:p>
    <w:p w14:paraId="5A804F73" w14:textId="3BD866C5" w:rsidR="00B57AC3" w:rsidRDefault="00AB087F" w:rsidP="00B57AC3">
      <w:pPr>
        <w:pStyle w:val="ListParagraph"/>
      </w:pPr>
      <w:r>
        <w:rPr>
          <w:rStyle w:val="ReportTemplate"/>
        </w:rPr>
        <w:t xml:space="preserve">A range of organisations have called for </w:t>
      </w:r>
      <w:r w:rsidR="004A5056">
        <w:rPr>
          <w:rStyle w:val="ReportTemplate"/>
        </w:rPr>
        <w:t xml:space="preserve">all countries in </w:t>
      </w:r>
      <w:r>
        <w:rPr>
          <w:rStyle w:val="ReportTemplate"/>
        </w:rPr>
        <w:t xml:space="preserve">the UK to increase the ACR, including </w:t>
      </w:r>
      <w:r w:rsidR="008E3DB7">
        <w:rPr>
          <w:rStyle w:val="ReportTemplate"/>
        </w:rPr>
        <w:t>the Association of Directors of Children’s Services, the Association of Youth Offending Team Managers</w:t>
      </w:r>
      <w:r w:rsidR="00A642D1">
        <w:rPr>
          <w:rStyle w:val="ReportTemplate"/>
        </w:rPr>
        <w:t xml:space="preserve"> and</w:t>
      </w:r>
      <w:r w:rsidR="008E3DB7">
        <w:rPr>
          <w:rStyle w:val="ReportTemplate"/>
        </w:rPr>
        <w:t xml:space="preserve"> </w:t>
      </w:r>
      <w:r w:rsidR="00A642D1">
        <w:rPr>
          <w:rStyle w:val="ReportTemplate"/>
        </w:rPr>
        <w:t>the children’s commissioner for England</w:t>
      </w:r>
      <w:r w:rsidR="006423ED">
        <w:rPr>
          <w:rStyle w:val="ReportTemplate"/>
        </w:rPr>
        <w:t>.</w:t>
      </w:r>
      <w:r w:rsidR="000E46C2">
        <w:rPr>
          <w:rStyle w:val="EndnoteReference"/>
        </w:rPr>
        <w:endnoteReference w:id="3"/>
      </w:r>
      <w:r w:rsidR="00121837">
        <w:rPr>
          <w:rStyle w:val="ReportTemplate"/>
        </w:rPr>
        <w:t xml:space="preserve"> Other organisations calling for the ACR to be raised include</w:t>
      </w:r>
      <w:r w:rsidR="00BA7381">
        <w:rPr>
          <w:rStyle w:val="ReportTemplate"/>
        </w:rPr>
        <w:t xml:space="preserve"> the</w:t>
      </w:r>
      <w:r w:rsidR="00121837">
        <w:rPr>
          <w:rStyle w:val="ReportTemplate"/>
        </w:rPr>
        <w:t xml:space="preserve"> </w:t>
      </w:r>
      <w:r w:rsidR="00BA7381">
        <w:t>Law Societies, the Royal Society, the Royal College of Psychiatrists and the All Party Parliamentary Group for Children.</w:t>
      </w:r>
      <w:r w:rsidR="00C2164C">
        <w:rPr>
          <w:rStyle w:val="EndnoteReference"/>
        </w:rPr>
        <w:endnoteReference w:id="4"/>
      </w:r>
    </w:p>
    <w:p w14:paraId="77EB61B7" w14:textId="77777777" w:rsidR="00B809CF" w:rsidRDefault="00B809CF" w:rsidP="00B809CF">
      <w:pPr>
        <w:pStyle w:val="ListParagraph"/>
        <w:numPr>
          <w:ilvl w:val="0"/>
          <w:numId w:val="0"/>
        </w:numPr>
        <w:ind w:left="360"/>
      </w:pPr>
    </w:p>
    <w:p w14:paraId="1F50B7DC" w14:textId="25453CE5" w:rsidR="00E34A4E" w:rsidRDefault="00B809CF" w:rsidP="00B57AC3">
      <w:pPr>
        <w:pStyle w:val="ListParagraph"/>
      </w:pPr>
      <w:r>
        <w:t>In May 2019, the Equalities and Human Rights Commission called on the Government to raise the ACR, noting that</w:t>
      </w:r>
      <w:r w:rsidR="00CD48CE">
        <w:t xml:space="preserve"> “</w:t>
      </w:r>
      <w:r w:rsidR="00CD48CE" w:rsidRPr="00CD48CE">
        <w:t>criminalising children at such a young age can have a detrimental impact on their wellbeing and development and risks making them more likely to reoffend as adults.</w:t>
      </w:r>
      <w:r w:rsidR="00CD48CE">
        <w:t>”</w:t>
      </w:r>
      <w:r w:rsidR="00CD48CE" w:rsidRPr="00CD48CE">
        <w:rPr>
          <w:rStyle w:val="EndnoteReference"/>
        </w:rPr>
        <w:t xml:space="preserve"> </w:t>
      </w:r>
      <w:r w:rsidR="00CD48CE">
        <w:rPr>
          <w:rStyle w:val="EndnoteReference"/>
        </w:rPr>
        <w:endnoteReference w:id="5"/>
      </w:r>
    </w:p>
    <w:p w14:paraId="6C3DD7DC" w14:textId="42F83FC0" w:rsidR="00CD48CE" w:rsidRPr="00CD48CE" w:rsidRDefault="00CD48CE" w:rsidP="00CD48CE">
      <w:pPr>
        <w:rPr>
          <w:b/>
        </w:rPr>
      </w:pPr>
      <w:r>
        <w:rPr>
          <w:b/>
        </w:rPr>
        <w:t>Child development</w:t>
      </w:r>
    </w:p>
    <w:p w14:paraId="660DDBC8" w14:textId="4C25708E" w:rsidR="00CD48CE" w:rsidRDefault="0093066F" w:rsidP="00B57AC3">
      <w:pPr>
        <w:pStyle w:val="ListParagraph"/>
      </w:pPr>
      <w:r>
        <w:t>A 2011 report by the Royal Society</w:t>
      </w:r>
      <w:r w:rsidR="009326FF">
        <w:rPr>
          <w:rStyle w:val="EndnoteReference"/>
        </w:rPr>
        <w:endnoteReference w:id="6"/>
      </w:r>
      <w:r>
        <w:t xml:space="preserve"> outlines that:</w:t>
      </w:r>
    </w:p>
    <w:p w14:paraId="51883C3C" w14:textId="1F44FA8D" w:rsidR="0093066F" w:rsidRPr="00A64D3F" w:rsidRDefault="009664FC" w:rsidP="00354920">
      <w:pPr>
        <w:ind w:left="284" w:firstLine="0"/>
        <w:rPr>
          <w:i/>
        </w:rPr>
      </w:pPr>
      <w:r w:rsidRPr="009664FC">
        <w:t>8.1</w:t>
      </w:r>
      <w:r>
        <w:rPr>
          <w:i/>
        </w:rPr>
        <w:t xml:space="preserve"> </w:t>
      </w:r>
      <w:r w:rsidR="00354920" w:rsidRPr="00A64D3F">
        <w:rPr>
          <w:i/>
        </w:rPr>
        <w:t>Changes in important neural circuits underpinning behaviour continue until at least 20 years of age…The prefrontal cortex (which is especially important in relation to judgement, decision-making and impulse control) is the slowest to mature. By contrast, the amygdala, an area of the brain responsible for reward and emotional processing, develops during early adolescence. It is thought that an imbalance between the late development of the prefrontal cortex responsible for guiding behaviour, compared to the early developments of the amygdala and associated structures may account for heightened emotional responses and the risky behaviour characteristic of adolescence.</w:t>
      </w:r>
    </w:p>
    <w:p w14:paraId="66C09104" w14:textId="2F638903" w:rsidR="00354920" w:rsidRPr="00A64D3F" w:rsidRDefault="009664FC" w:rsidP="00A64D3F">
      <w:pPr>
        <w:ind w:left="284" w:firstLine="0"/>
        <w:rPr>
          <w:i/>
        </w:rPr>
      </w:pPr>
      <w:r w:rsidRPr="009664FC">
        <w:t>8.2</w:t>
      </w:r>
      <w:r>
        <w:rPr>
          <w:i/>
        </w:rPr>
        <w:t xml:space="preserve"> </w:t>
      </w:r>
      <w:r w:rsidR="00A64D3F" w:rsidRPr="00A64D3F">
        <w:rPr>
          <w:i/>
        </w:rPr>
        <w:t>It is clear that at the age of ten the brain is developmentally immature, and continues to undergo important changes linked to regulating one’s own behaviour. There is concern among some professionals in this field that the age of criminal responsibility in the UK is unreasonably low, and the evidence of individual differences suggests that an arbitrary cut-off age may not be justifiable.</w:t>
      </w:r>
    </w:p>
    <w:p w14:paraId="24A68960" w14:textId="248355B6" w:rsidR="0093066F" w:rsidRDefault="00563FB8" w:rsidP="00B57AC3">
      <w:pPr>
        <w:pStyle w:val="ListParagraph"/>
      </w:pPr>
      <w:r>
        <w:t>A</w:t>
      </w:r>
      <w:r w:rsidR="00931DE3">
        <w:t xml:space="preserve"> Houses of Parliament</w:t>
      </w:r>
      <w:r>
        <w:t xml:space="preserve"> briefing</w:t>
      </w:r>
      <w:r w:rsidR="00931DE3">
        <w:t xml:space="preserve"> on ACR</w:t>
      </w:r>
      <w:r w:rsidR="0004608B">
        <w:rPr>
          <w:rStyle w:val="EndnoteReference"/>
        </w:rPr>
        <w:endnoteReference w:id="7"/>
      </w:r>
      <w:r>
        <w:t xml:space="preserve"> outlines that:</w:t>
      </w:r>
    </w:p>
    <w:p w14:paraId="491A31EC" w14:textId="0CF9F571" w:rsidR="00563FB8" w:rsidRPr="009664FC" w:rsidRDefault="00563FB8" w:rsidP="00563FB8">
      <w:pPr>
        <w:pStyle w:val="ListParagraph"/>
        <w:numPr>
          <w:ilvl w:val="0"/>
          <w:numId w:val="0"/>
        </w:numPr>
        <w:ind w:left="360"/>
      </w:pPr>
    </w:p>
    <w:p w14:paraId="6C49A732" w14:textId="06D83425" w:rsidR="00563FB8" w:rsidRPr="00F07DE5" w:rsidRDefault="009664FC" w:rsidP="009664FC">
      <w:pPr>
        <w:pStyle w:val="ListParagraph"/>
        <w:numPr>
          <w:ilvl w:val="0"/>
          <w:numId w:val="0"/>
        </w:numPr>
        <w:ind w:left="360"/>
        <w:rPr>
          <w:i/>
        </w:rPr>
      </w:pPr>
      <w:r w:rsidRPr="009664FC">
        <w:t>9.1</w:t>
      </w:r>
      <w:r>
        <w:rPr>
          <w:i/>
        </w:rPr>
        <w:t xml:space="preserve"> </w:t>
      </w:r>
      <w:r w:rsidR="00F07DE5" w:rsidRPr="00F07DE5">
        <w:rPr>
          <w:i/>
        </w:rPr>
        <w:t xml:space="preserve">Adolescents are less able to consider the perspective of others when making decisions, or to inhibit inappropriate actions. The way their brains develop leads them to prioritise immediate rewards over long-term consequences. Furthermore, adolescents who suffer adversity in early life show particularly high activity in the reward areas of the brain and are more prone to </w:t>
      </w:r>
      <w:r w:rsidR="00095394" w:rsidRPr="00F07DE5">
        <w:rPr>
          <w:i/>
        </w:rPr>
        <w:t>risk-taking</w:t>
      </w:r>
      <w:r w:rsidR="00F07DE5" w:rsidRPr="00F07DE5">
        <w:rPr>
          <w:i/>
        </w:rPr>
        <w:t xml:space="preserve"> behaviours</w:t>
      </w:r>
      <w:r w:rsidR="0004608B">
        <w:rPr>
          <w:i/>
        </w:rPr>
        <w:t>.</w:t>
      </w:r>
    </w:p>
    <w:p w14:paraId="59D3BD8C" w14:textId="77777777" w:rsidR="00F07DE5" w:rsidRDefault="00F07DE5" w:rsidP="00563FB8">
      <w:pPr>
        <w:pStyle w:val="ListParagraph"/>
        <w:numPr>
          <w:ilvl w:val="0"/>
          <w:numId w:val="0"/>
        </w:numPr>
        <w:ind w:left="360"/>
      </w:pPr>
    </w:p>
    <w:p w14:paraId="17E18AC5" w14:textId="32C823E5" w:rsidR="00E27872" w:rsidRDefault="00E27872" w:rsidP="00E27872">
      <w:pPr>
        <w:pStyle w:val="ListParagraph"/>
      </w:pPr>
      <w:r>
        <w:t>The briefing also highlights that “conventional morality, including “law and order” morality is generally not achieved until mid-teens</w:t>
      </w:r>
      <w:r w:rsidR="00D12B95">
        <w:t>.</w:t>
      </w:r>
      <w:r>
        <w:t>”</w:t>
      </w:r>
    </w:p>
    <w:p w14:paraId="49D38893" w14:textId="77777777" w:rsidR="005E23F3" w:rsidRDefault="005E23F3" w:rsidP="005E23F3">
      <w:pPr>
        <w:pStyle w:val="ListParagraph"/>
        <w:numPr>
          <w:ilvl w:val="0"/>
          <w:numId w:val="0"/>
        </w:numPr>
        <w:ind w:left="360"/>
      </w:pPr>
    </w:p>
    <w:p w14:paraId="532B4798" w14:textId="77777777" w:rsidR="005E23F3" w:rsidRDefault="005E23F3" w:rsidP="005E23F3">
      <w:pPr>
        <w:pStyle w:val="ListParagraph"/>
        <w:numPr>
          <w:ilvl w:val="0"/>
          <w:numId w:val="0"/>
        </w:numPr>
        <w:ind w:left="360"/>
      </w:pPr>
    </w:p>
    <w:p w14:paraId="3E66640A" w14:textId="77777777" w:rsidR="005E23F3" w:rsidRDefault="005E23F3" w:rsidP="005E23F3">
      <w:pPr>
        <w:pStyle w:val="ListParagraph"/>
        <w:numPr>
          <w:ilvl w:val="0"/>
          <w:numId w:val="0"/>
        </w:numPr>
        <w:ind w:left="360"/>
      </w:pPr>
    </w:p>
    <w:p w14:paraId="4315D598" w14:textId="1CFB9C11" w:rsidR="00D12B95" w:rsidRPr="00D12B95" w:rsidRDefault="00D12B95" w:rsidP="00D12B95">
      <w:pPr>
        <w:rPr>
          <w:b/>
        </w:rPr>
      </w:pPr>
      <w:r>
        <w:rPr>
          <w:b/>
        </w:rPr>
        <w:lastRenderedPageBreak/>
        <w:t>Children’s outcomes</w:t>
      </w:r>
    </w:p>
    <w:p w14:paraId="453D81D3" w14:textId="5B9C429C" w:rsidR="00E27872" w:rsidRDefault="00F276B1" w:rsidP="00B57AC3">
      <w:pPr>
        <w:pStyle w:val="ListParagraph"/>
      </w:pPr>
      <w:r>
        <w:t xml:space="preserve">The Houses of Parliament briefing highlights that </w:t>
      </w:r>
      <w:r w:rsidR="007B1CA6">
        <w:t>criminalising children does not reduce reoffending and can be harmful, in particular</w:t>
      </w:r>
      <w:r w:rsidR="00C31644">
        <w:t xml:space="preserve"> it cites evidence that</w:t>
      </w:r>
      <w:r w:rsidR="007B1CA6">
        <w:t>:</w:t>
      </w:r>
    </w:p>
    <w:p w14:paraId="741F22C5" w14:textId="3F9D2104" w:rsidR="007B1CA6" w:rsidRDefault="007B1CA6" w:rsidP="007B1CA6">
      <w:pPr>
        <w:pStyle w:val="ListParagraph"/>
        <w:numPr>
          <w:ilvl w:val="0"/>
          <w:numId w:val="0"/>
        </w:numPr>
        <w:ind w:left="360"/>
      </w:pPr>
    </w:p>
    <w:p w14:paraId="089CFA37" w14:textId="77777777" w:rsidR="005E23F3" w:rsidRDefault="00864058" w:rsidP="005E23F3">
      <w:pPr>
        <w:pStyle w:val="ListParagraph"/>
        <w:numPr>
          <w:ilvl w:val="1"/>
          <w:numId w:val="5"/>
        </w:numPr>
      </w:pPr>
      <w:r>
        <w:t xml:space="preserve">children who are dealt with most severely by the </w:t>
      </w:r>
      <w:r w:rsidR="00C31644">
        <w:t>criminal justice system (CJS)</w:t>
      </w:r>
      <w:r>
        <w:t xml:space="preserve"> are less likely to desist from offending.</w:t>
      </w:r>
    </w:p>
    <w:p w14:paraId="10BDD6C8" w14:textId="77777777" w:rsidR="005E23F3" w:rsidRDefault="00864058" w:rsidP="005E23F3">
      <w:pPr>
        <w:pStyle w:val="ListParagraph"/>
        <w:numPr>
          <w:ilvl w:val="1"/>
          <w:numId w:val="5"/>
        </w:numPr>
      </w:pPr>
      <w:r>
        <w:t>contact with the CJS is not associated with reduction in re-offending and can lead to increased levels of criminality in children.</w:t>
      </w:r>
    </w:p>
    <w:p w14:paraId="4CABB2D0" w14:textId="77777777" w:rsidR="005E23F3" w:rsidRDefault="00864058" w:rsidP="005E23F3">
      <w:pPr>
        <w:pStyle w:val="ListParagraph"/>
        <w:numPr>
          <w:ilvl w:val="1"/>
          <w:numId w:val="5"/>
        </w:numPr>
      </w:pPr>
      <w:r>
        <w:t>reoffending rates for children who have been in custody are high.</w:t>
      </w:r>
      <w:r w:rsidR="00626CEA">
        <w:t xml:space="preserve"> </w:t>
      </w:r>
      <w:r>
        <w:t>Countries with a low ACR, including England and Wales, have the highest rates of child detention in penal institutions and the poorest outcomes with regards to rehabilitation and reoffending</w:t>
      </w:r>
    </w:p>
    <w:p w14:paraId="00478292" w14:textId="77777777" w:rsidR="005E23F3" w:rsidRDefault="00626CEA" w:rsidP="005E23F3">
      <w:pPr>
        <w:pStyle w:val="ListParagraph"/>
        <w:numPr>
          <w:ilvl w:val="1"/>
          <w:numId w:val="5"/>
        </w:numPr>
      </w:pPr>
      <w:r>
        <w:t>a low ACR does not deter children from offending.</w:t>
      </w:r>
    </w:p>
    <w:p w14:paraId="3CACCBEF" w14:textId="77777777" w:rsidR="005E23F3" w:rsidRDefault="00626CEA" w:rsidP="005E23F3">
      <w:pPr>
        <w:pStyle w:val="ListParagraph"/>
        <w:numPr>
          <w:ilvl w:val="1"/>
          <w:numId w:val="5"/>
        </w:numPr>
      </w:pPr>
      <w:r>
        <w:t>contact with the CJS reduces the likelihood of children completing education, obtaining qualifications and gaining meaningful employment.</w:t>
      </w:r>
    </w:p>
    <w:p w14:paraId="344DB6AA" w14:textId="4C185595" w:rsidR="00626CEA" w:rsidRDefault="00626CEA" w:rsidP="005E23F3">
      <w:pPr>
        <w:pStyle w:val="ListParagraph"/>
        <w:numPr>
          <w:ilvl w:val="1"/>
          <w:numId w:val="5"/>
        </w:numPr>
      </w:pPr>
      <w:r>
        <w:t xml:space="preserve">children subjected to criminal proceedings experience delays in receiving therapy compared to those placed in SCHs via welfare laws. </w:t>
      </w:r>
    </w:p>
    <w:p w14:paraId="59EA4C00" w14:textId="77777777" w:rsidR="001813A6" w:rsidRDefault="001813A6" w:rsidP="001813A6">
      <w:pPr>
        <w:pStyle w:val="ListParagraph"/>
        <w:numPr>
          <w:ilvl w:val="0"/>
          <w:numId w:val="0"/>
        </w:numPr>
        <w:ind w:left="1080"/>
      </w:pPr>
    </w:p>
    <w:p w14:paraId="66F5842F" w14:textId="432658BE" w:rsidR="007B1CA6" w:rsidRDefault="7C69B1D3" w:rsidP="00B57AC3">
      <w:pPr>
        <w:pStyle w:val="ListParagraph"/>
      </w:pPr>
      <w:r>
        <w:t>Alternatives to criminalisation for children under the ACR include welfare interventions, secure children’s homes or mental health treatment where relevant.</w:t>
      </w:r>
    </w:p>
    <w:p w14:paraId="694D990F" w14:textId="77777777" w:rsidR="005E23F3" w:rsidRDefault="005E23F3" w:rsidP="005E23F3">
      <w:pPr>
        <w:pStyle w:val="ListParagraph"/>
        <w:numPr>
          <w:ilvl w:val="0"/>
          <w:numId w:val="0"/>
        </w:numPr>
        <w:ind w:left="360"/>
        <w:rPr>
          <w:rStyle w:val="ReportTemplate"/>
        </w:rPr>
      </w:pPr>
    </w:p>
    <w:p w14:paraId="34EBD0A1" w14:textId="5908F55F" w:rsidR="7C69B1D3" w:rsidRDefault="7C69B1D3" w:rsidP="7C69B1D3">
      <w:pPr>
        <w:pStyle w:val="ListParagraph"/>
      </w:pPr>
      <w:r>
        <w:t>The previous government stated that it had no intention of reviewing the ACR, stating: “Setting the age of criminal responsibility at 10 provides flexibility in addressing offending behaviour by children and allows for early intervention to help prevent further offending.”</w:t>
      </w:r>
      <w:r w:rsidRPr="7C69B1D3">
        <w:rPr>
          <w:rStyle w:val="EndnoteReference"/>
        </w:rPr>
        <w:endnoteReference w:id="8"/>
      </w:r>
    </w:p>
    <w:sdt>
      <w:sdtPr>
        <w:rPr>
          <w:rStyle w:val="Style6"/>
        </w:rPr>
        <w:alias w:val="Wales"/>
        <w:tag w:val="Wales"/>
        <w:id w:val="77032369"/>
        <w:placeholder>
          <w:docPart w:val="EECEE7B9D7B84CC0BE134A02D365A7F9"/>
        </w:placeholder>
      </w:sdtPr>
      <w:sdtEndPr>
        <w:rPr>
          <w:rStyle w:val="Style6"/>
        </w:rPr>
      </w:sdtEndPr>
      <w:sdtContent>
        <w:p w14:paraId="5837A1BB" w14:textId="2AA72938" w:rsidR="009B6F95" w:rsidRPr="00CD48CE" w:rsidRDefault="009B6F95" w:rsidP="00CD48CE">
          <w:pPr>
            <w:rPr>
              <w:b/>
            </w:rPr>
          </w:pPr>
          <w:r w:rsidRPr="00C803F3">
            <w:rPr>
              <w:rStyle w:val="Style6"/>
            </w:rPr>
            <w:t>Implications for Wales</w:t>
          </w:r>
        </w:p>
      </w:sdtContent>
    </w:sdt>
    <w:p w14:paraId="01D073EA" w14:textId="33ECFDA5" w:rsidR="004E458A" w:rsidRPr="00526D37" w:rsidRDefault="7C69B1D3" w:rsidP="00526D37">
      <w:pPr>
        <w:pStyle w:val="ListParagraph"/>
        <w:rPr>
          <w:rStyle w:val="ReportTemplate"/>
          <w:i/>
          <w:iCs/>
        </w:rPr>
      </w:pPr>
      <w:r w:rsidRPr="7C69B1D3">
        <w:rPr>
          <w:rStyle w:val="ReportTemplate"/>
        </w:rPr>
        <w:t>The age of criminal responsibility is set by section 50 of the Children and Young Persons Act 1933, which applies to both England and Wales. Any change to the ACR would affect both England and Wales.</w:t>
      </w:r>
    </w:p>
    <w:p w14:paraId="5837A1C2" w14:textId="77777777" w:rsidR="009B6F95" w:rsidRPr="009B1AA8" w:rsidRDefault="009B4128"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339B9EB9" w:rsidR="009B6F95" w:rsidRPr="009B1AA8" w:rsidRDefault="7C69B1D3" w:rsidP="000F69FB">
      <w:pPr>
        <w:pStyle w:val="ListParagraph"/>
        <w:rPr>
          <w:rStyle w:val="Title2"/>
          <w:sz w:val="22"/>
        </w:rPr>
      </w:pPr>
      <w:r w:rsidRPr="7C69B1D3">
        <w:rPr>
          <w:rStyle w:val="Title2"/>
          <w:b w:val="0"/>
          <w:sz w:val="22"/>
        </w:rPr>
        <w:t>None.</w:t>
      </w:r>
    </w:p>
    <w:p w14:paraId="5837A1C5" w14:textId="77777777" w:rsidR="009B6F95" w:rsidRPr="009B1AA8" w:rsidRDefault="009B4128"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4B33FC5F" w14:textId="67D55536" w:rsidR="00AC32A1" w:rsidRPr="009B1AA8" w:rsidRDefault="7C69B1D3" w:rsidP="00526D37">
      <w:pPr>
        <w:pStyle w:val="ListParagraph"/>
        <w:rPr>
          <w:rStyle w:val="ReportTemplate"/>
        </w:rPr>
      </w:pPr>
      <w:r w:rsidRPr="7C69B1D3">
        <w:rPr>
          <w:rStyle w:val="ReportTemplate"/>
        </w:rPr>
        <w:t>Members’ decision on the LGA’s position on the ACR will inform future work with Government.</w:t>
      </w:r>
    </w:p>
    <w:p w14:paraId="5837A1C7" w14:textId="77777777" w:rsidR="009B6F95" w:rsidRDefault="009B6F95" w:rsidP="00AC32A1">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1AE31" w14:textId="77777777" w:rsidR="00007511" w:rsidRPr="00C803F3" w:rsidRDefault="00007511" w:rsidP="00C803F3">
      <w:r>
        <w:separator/>
      </w:r>
    </w:p>
  </w:endnote>
  <w:endnote w:type="continuationSeparator" w:id="0">
    <w:p w14:paraId="292C4775" w14:textId="77777777" w:rsidR="00007511" w:rsidRPr="00C803F3" w:rsidRDefault="00007511" w:rsidP="00C803F3">
      <w:r>
        <w:continuationSeparator/>
      </w:r>
    </w:p>
  </w:endnote>
  <w:endnote w:id="1">
    <w:p w14:paraId="6D1C784F" w14:textId="4B93E02F" w:rsidR="00AC48F3" w:rsidRDefault="00AC48F3">
      <w:pPr>
        <w:pStyle w:val="EndnoteText"/>
      </w:pPr>
      <w:r>
        <w:rPr>
          <w:rStyle w:val="EndnoteReference"/>
        </w:rPr>
        <w:endnoteRef/>
      </w:r>
      <w:r>
        <w:t xml:space="preserve"> </w:t>
      </w:r>
      <w:hyperlink r:id="rId1" w:history="1">
        <w:r>
          <w:rPr>
            <w:rStyle w:val="Hyperlink"/>
          </w:rPr>
          <w:t>https://www2.ohchr.org/english/bodies/crc/docs/CRC.C.GC.10.pdf</w:t>
        </w:r>
      </w:hyperlink>
    </w:p>
  </w:endnote>
  <w:endnote w:id="2">
    <w:p w14:paraId="78EA25E5" w14:textId="3E541E62" w:rsidR="007838C6" w:rsidRDefault="007838C6">
      <w:pPr>
        <w:pStyle w:val="EndnoteText"/>
      </w:pPr>
      <w:r>
        <w:rPr>
          <w:rStyle w:val="EndnoteReference"/>
        </w:rPr>
        <w:endnoteRef/>
      </w:r>
      <w:r>
        <w:t xml:space="preserve"> </w:t>
      </w:r>
      <w:hyperlink r:id="rId2" w:history="1">
        <w:r>
          <w:rPr>
            <w:rStyle w:val="Hyperlink"/>
          </w:rPr>
          <w:t>https://www.ohchr.org/Documents/HRBodies/CRC/GC24/GeneralComment24.pdf</w:t>
        </w:r>
      </w:hyperlink>
    </w:p>
  </w:endnote>
  <w:endnote w:id="3">
    <w:p w14:paraId="3B3F46B8" w14:textId="491F2B58" w:rsidR="000E46C2" w:rsidRDefault="000E46C2">
      <w:pPr>
        <w:pStyle w:val="EndnoteText"/>
      </w:pPr>
      <w:r>
        <w:rPr>
          <w:rStyle w:val="EndnoteReference"/>
        </w:rPr>
        <w:endnoteRef/>
      </w:r>
      <w:r>
        <w:t xml:space="preserve"> </w:t>
      </w:r>
      <w:hyperlink r:id="rId3" w:history="1">
        <w:r>
          <w:rPr>
            <w:rStyle w:val="Hyperlink"/>
          </w:rPr>
          <w:t>https://www.theguardian.com/society/2019/nov/04/age-of-criminal-responsibility-must-be-raised-say-experts</w:t>
        </w:r>
      </w:hyperlink>
    </w:p>
  </w:endnote>
  <w:endnote w:id="4">
    <w:p w14:paraId="50476E7A" w14:textId="193BADA3" w:rsidR="00C2164C" w:rsidRDefault="00C2164C">
      <w:pPr>
        <w:pStyle w:val="EndnoteText"/>
      </w:pPr>
      <w:r>
        <w:rPr>
          <w:rStyle w:val="EndnoteReference"/>
        </w:rPr>
        <w:endnoteRef/>
      </w:r>
      <w:r>
        <w:t xml:space="preserve"> </w:t>
      </w:r>
      <w:hyperlink r:id="rId4" w:history="1">
        <w:r>
          <w:rPr>
            <w:rStyle w:val="Hyperlink"/>
          </w:rPr>
          <w:t>https://yjlc.uk/wp-content/uploads/2018/06/ACR.pdf</w:t>
        </w:r>
      </w:hyperlink>
    </w:p>
  </w:endnote>
  <w:endnote w:id="5">
    <w:p w14:paraId="0DCF83D2" w14:textId="77777777" w:rsidR="00CD48CE" w:rsidRDefault="00CD48CE" w:rsidP="00CD48CE">
      <w:pPr>
        <w:pStyle w:val="EndnoteText"/>
      </w:pPr>
      <w:r>
        <w:rPr>
          <w:rStyle w:val="EndnoteReference"/>
        </w:rPr>
        <w:endnoteRef/>
      </w:r>
      <w:r>
        <w:t xml:space="preserve"> </w:t>
      </w:r>
      <w:hyperlink r:id="rId5" w:history="1">
        <w:r>
          <w:rPr>
            <w:rStyle w:val="Hyperlink"/>
          </w:rPr>
          <w:t>https://www.equalityhumanrights.com/en/our-work/news/government-must-improve-record-stopping-cruel-and-inhuman-treatment</w:t>
        </w:r>
      </w:hyperlink>
    </w:p>
  </w:endnote>
  <w:endnote w:id="6">
    <w:p w14:paraId="535BCD27" w14:textId="40CAC7F3" w:rsidR="009326FF" w:rsidRDefault="009326FF">
      <w:pPr>
        <w:pStyle w:val="EndnoteText"/>
      </w:pPr>
      <w:r>
        <w:rPr>
          <w:rStyle w:val="EndnoteReference"/>
        </w:rPr>
        <w:endnoteRef/>
      </w:r>
      <w:r>
        <w:t xml:space="preserve"> </w:t>
      </w:r>
      <w:hyperlink r:id="rId6" w:history="1">
        <w:r>
          <w:rPr>
            <w:rStyle w:val="Hyperlink"/>
          </w:rPr>
          <w:t>https://royalsociety.org/~/media/Royal_Society_Content/policy/projects/brain-waves/Brain-Waves-4.pdf</w:t>
        </w:r>
      </w:hyperlink>
    </w:p>
  </w:endnote>
  <w:endnote w:id="7">
    <w:p w14:paraId="5D7BF39E" w14:textId="4FC3D7D6" w:rsidR="0004608B" w:rsidRDefault="0004608B">
      <w:pPr>
        <w:pStyle w:val="EndnoteText"/>
      </w:pPr>
      <w:r>
        <w:rPr>
          <w:rStyle w:val="EndnoteReference"/>
        </w:rPr>
        <w:endnoteRef/>
      </w:r>
      <w:r>
        <w:t xml:space="preserve"> </w:t>
      </w:r>
      <w:hyperlink r:id="rId7" w:history="1">
        <w:r>
          <w:rPr>
            <w:rStyle w:val="Hyperlink"/>
          </w:rPr>
          <w:t>https://yjlc.uk/wp-content/uploads/2018/06/ACR.pdf</w:t>
        </w:r>
      </w:hyperlink>
    </w:p>
  </w:endnote>
  <w:endnote w:id="8">
    <w:p w14:paraId="08B93F52" w14:textId="4DEB48D2" w:rsidR="7C69B1D3" w:rsidRDefault="7C69B1D3" w:rsidP="7C69B1D3">
      <w:pPr>
        <w:pStyle w:val="EndnoteText"/>
      </w:pPr>
      <w:r w:rsidRPr="7C69B1D3">
        <w:rPr>
          <w:rStyle w:val="EndnoteReference"/>
        </w:rPr>
        <w:endnoteRef/>
      </w:r>
      <w:r>
        <w:t xml:space="preserve"> </w:t>
      </w:r>
      <w:hyperlink r:id="rId8">
        <w:r w:rsidRPr="7C69B1D3">
          <w:rPr>
            <w:rStyle w:val="Hyperlink"/>
          </w:rPr>
          <w:t>https://www.theguardian.com/society/2019/nov/04/age-of-criminal-responsibility-must-be-raised-say-experts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B57AC3" w:rsidRDefault="00B57AC3"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37A6723" w14:textId="77777777" w:rsidR="005E23F3" w:rsidRPr="003219CC" w:rsidRDefault="005E23F3"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456B" w14:textId="77777777" w:rsidR="00007511" w:rsidRPr="00C803F3" w:rsidRDefault="00007511" w:rsidP="00C803F3">
      <w:r>
        <w:separator/>
      </w:r>
    </w:p>
  </w:footnote>
  <w:footnote w:type="continuationSeparator" w:id="0">
    <w:p w14:paraId="42168A5B" w14:textId="77777777" w:rsidR="00007511" w:rsidRPr="00C803F3" w:rsidRDefault="0000751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B57AC3" w:rsidRDefault="00B57AC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57AC3" w:rsidRPr="00C25CA7" w14:paraId="5837A1D2" w14:textId="77777777" w:rsidTr="000F69FB">
      <w:trPr>
        <w:trHeight w:val="416"/>
      </w:trPr>
      <w:tc>
        <w:tcPr>
          <w:tcW w:w="5812" w:type="dxa"/>
          <w:vMerge w:val="restart"/>
        </w:tcPr>
        <w:p w14:paraId="5837A1D0" w14:textId="77777777" w:rsidR="00B57AC3" w:rsidRPr="00C803F3" w:rsidRDefault="00B57AC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E039A35" w:rsidR="00B57AC3" w:rsidRPr="00C803F3" w:rsidRDefault="00F53E4A" w:rsidP="00713F3B">
              <w:r w:rsidRPr="00C84F32">
                <w:rPr>
                  <w:b/>
                </w:rPr>
                <w:t xml:space="preserve">Children </w:t>
              </w:r>
              <w:r w:rsidR="00713F3B">
                <w:rPr>
                  <w:b/>
                </w:rPr>
                <w:t>&amp;</w:t>
              </w:r>
              <w:r w:rsidRPr="00C84F32">
                <w:rPr>
                  <w:b/>
                </w:rPr>
                <w:t xml:space="preserve"> Young People </w:t>
              </w:r>
              <w:r w:rsidR="006A7B35" w:rsidRPr="00C84F32">
                <w:rPr>
                  <w:b/>
                </w:rPr>
                <w:t>Board</w:t>
              </w:r>
            </w:p>
          </w:tc>
        </w:sdtContent>
      </w:sdt>
    </w:tr>
    <w:tr w:rsidR="00B57AC3" w14:paraId="5837A1D5" w14:textId="77777777" w:rsidTr="000F69FB">
      <w:trPr>
        <w:trHeight w:val="406"/>
      </w:trPr>
      <w:tc>
        <w:tcPr>
          <w:tcW w:w="5812" w:type="dxa"/>
          <w:vMerge/>
        </w:tcPr>
        <w:p w14:paraId="5837A1D3" w14:textId="77777777" w:rsidR="00B57AC3" w:rsidRPr="00A627DD" w:rsidRDefault="00B57AC3" w:rsidP="00C803F3"/>
      </w:tc>
      <w:tc>
        <w:tcPr>
          <w:tcW w:w="4106" w:type="dxa"/>
        </w:tcPr>
        <w:sdt>
          <w:sdtPr>
            <w:alias w:val="Date"/>
            <w:tag w:val="Date"/>
            <w:id w:val="-488943452"/>
            <w:placeholder>
              <w:docPart w:val="DC36D9B85A214F14AB68618A90760C36"/>
            </w:placeholder>
            <w:date w:fullDate="2020-01-22T00:00:00Z">
              <w:dateFormat w:val="dd MMMM yyyy"/>
              <w:lid w:val="en-GB"/>
              <w:storeMappedDataAs w:val="dateTime"/>
              <w:calendar w:val="gregorian"/>
            </w:date>
          </w:sdtPr>
          <w:sdtEndPr/>
          <w:sdtContent>
            <w:p w14:paraId="5837A1D4" w14:textId="7019FF99" w:rsidR="00B57AC3" w:rsidRPr="00C803F3" w:rsidRDefault="006A7B35" w:rsidP="00C803F3">
              <w:r>
                <w:t>22 January 2020</w:t>
              </w:r>
            </w:p>
          </w:sdtContent>
        </w:sdt>
      </w:tc>
    </w:tr>
    <w:tr w:rsidR="00B57AC3" w:rsidRPr="00C25CA7" w14:paraId="5837A1D8" w14:textId="77777777" w:rsidTr="000F69FB">
      <w:trPr>
        <w:trHeight w:val="89"/>
      </w:trPr>
      <w:tc>
        <w:tcPr>
          <w:tcW w:w="5812" w:type="dxa"/>
          <w:vMerge/>
        </w:tcPr>
        <w:p w14:paraId="5837A1D6" w14:textId="77777777" w:rsidR="00B57AC3" w:rsidRPr="00A627DD" w:rsidRDefault="00B57AC3" w:rsidP="00C803F3"/>
      </w:tc>
      <w:tc>
        <w:tcPr>
          <w:tcW w:w="4106" w:type="dxa"/>
        </w:tcPr>
        <w:p w14:paraId="5837A1D7" w14:textId="27A1CD14" w:rsidR="00B57AC3" w:rsidRPr="00C803F3" w:rsidRDefault="00B57AC3" w:rsidP="00C803F3"/>
      </w:tc>
    </w:tr>
  </w:tbl>
  <w:p w14:paraId="5837A1D9" w14:textId="77777777" w:rsidR="00B57AC3" w:rsidRDefault="00B57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885"/>
    <w:multiLevelType w:val="hybridMultilevel"/>
    <w:tmpl w:val="A83A6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2EC0DE10"/>
    <w:lvl w:ilvl="0">
      <w:start w:val="1"/>
      <w:numFmt w:val="decimal"/>
      <w:pStyle w:val="ListParagraph"/>
      <w:lvlText w:val="%1."/>
      <w:lvlJc w:val="left"/>
      <w:pPr>
        <w:ind w:left="360" w:hanging="360"/>
      </w:pPr>
      <w:rPr>
        <w:b w:val="0"/>
        <w:i w:val="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8D455B"/>
    <w:multiLevelType w:val="multilevel"/>
    <w:tmpl w:val="C8A4DCE0"/>
    <w:lvl w:ilvl="0">
      <w:start w:val="1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0445C9"/>
    <w:multiLevelType w:val="hybridMultilevel"/>
    <w:tmpl w:val="C728D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511"/>
    <w:rsid w:val="00016097"/>
    <w:rsid w:val="00025BDD"/>
    <w:rsid w:val="0004608B"/>
    <w:rsid w:val="00095394"/>
    <w:rsid w:val="000E46C2"/>
    <w:rsid w:val="000F69FB"/>
    <w:rsid w:val="00121837"/>
    <w:rsid w:val="001672CD"/>
    <w:rsid w:val="00172ED0"/>
    <w:rsid w:val="001813A6"/>
    <w:rsid w:val="001B36CE"/>
    <w:rsid w:val="001B3D81"/>
    <w:rsid w:val="001E269C"/>
    <w:rsid w:val="001F2CB9"/>
    <w:rsid w:val="00205859"/>
    <w:rsid w:val="002539E9"/>
    <w:rsid w:val="00301A51"/>
    <w:rsid w:val="00307606"/>
    <w:rsid w:val="003219CC"/>
    <w:rsid w:val="0033673D"/>
    <w:rsid w:val="00354920"/>
    <w:rsid w:val="0038001F"/>
    <w:rsid w:val="003A55BD"/>
    <w:rsid w:val="00432EE1"/>
    <w:rsid w:val="00464652"/>
    <w:rsid w:val="004A5056"/>
    <w:rsid w:val="004E458A"/>
    <w:rsid w:val="00526D37"/>
    <w:rsid w:val="00563FB8"/>
    <w:rsid w:val="005817E6"/>
    <w:rsid w:val="005C589C"/>
    <w:rsid w:val="005E23F3"/>
    <w:rsid w:val="005E616B"/>
    <w:rsid w:val="00614D8E"/>
    <w:rsid w:val="00626CEA"/>
    <w:rsid w:val="006423ED"/>
    <w:rsid w:val="006A7B35"/>
    <w:rsid w:val="00712C86"/>
    <w:rsid w:val="00713F3B"/>
    <w:rsid w:val="00736D7C"/>
    <w:rsid w:val="007622BA"/>
    <w:rsid w:val="00782445"/>
    <w:rsid w:val="007838C6"/>
    <w:rsid w:val="00795C95"/>
    <w:rsid w:val="007B1CA6"/>
    <w:rsid w:val="007E268E"/>
    <w:rsid w:val="0080661C"/>
    <w:rsid w:val="00864058"/>
    <w:rsid w:val="00890C1E"/>
    <w:rsid w:val="00891AE9"/>
    <w:rsid w:val="008E3DB7"/>
    <w:rsid w:val="008E5258"/>
    <w:rsid w:val="00912FAC"/>
    <w:rsid w:val="0093066F"/>
    <w:rsid w:val="00931DE3"/>
    <w:rsid w:val="009326FF"/>
    <w:rsid w:val="009541C9"/>
    <w:rsid w:val="009664FC"/>
    <w:rsid w:val="009B1AA8"/>
    <w:rsid w:val="009B6F95"/>
    <w:rsid w:val="00A2243C"/>
    <w:rsid w:val="00A45EFC"/>
    <w:rsid w:val="00A53AB9"/>
    <w:rsid w:val="00A642D1"/>
    <w:rsid w:val="00A64D3F"/>
    <w:rsid w:val="00A73644"/>
    <w:rsid w:val="00A73C31"/>
    <w:rsid w:val="00AB087F"/>
    <w:rsid w:val="00AC32A1"/>
    <w:rsid w:val="00AC340B"/>
    <w:rsid w:val="00AC48F3"/>
    <w:rsid w:val="00AC56C2"/>
    <w:rsid w:val="00B13EAB"/>
    <w:rsid w:val="00B154AF"/>
    <w:rsid w:val="00B3174D"/>
    <w:rsid w:val="00B37D32"/>
    <w:rsid w:val="00B51DF7"/>
    <w:rsid w:val="00B57AC3"/>
    <w:rsid w:val="00B809CF"/>
    <w:rsid w:val="00B84F31"/>
    <w:rsid w:val="00BA7381"/>
    <w:rsid w:val="00BB537F"/>
    <w:rsid w:val="00BD50CE"/>
    <w:rsid w:val="00C06E79"/>
    <w:rsid w:val="00C2164C"/>
    <w:rsid w:val="00C31644"/>
    <w:rsid w:val="00C463DA"/>
    <w:rsid w:val="00C803F3"/>
    <w:rsid w:val="00C84F32"/>
    <w:rsid w:val="00CB3D37"/>
    <w:rsid w:val="00CD48CE"/>
    <w:rsid w:val="00D12B95"/>
    <w:rsid w:val="00D34EF1"/>
    <w:rsid w:val="00D43AA5"/>
    <w:rsid w:val="00D45B4D"/>
    <w:rsid w:val="00DA7394"/>
    <w:rsid w:val="00E214E7"/>
    <w:rsid w:val="00E27872"/>
    <w:rsid w:val="00E34A4E"/>
    <w:rsid w:val="00E55AC9"/>
    <w:rsid w:val="00EB7F18"/>
    <w:rsid w:val="00EE4B01"/>
    <w:rsid w:val="00F00C03"/>
    <w:rsid w:val="00F07DE5"/>
    <w:rsid w:val="00F276B1"/>
    <w:rsid w:val="00F53E4A"/>
    <w:rsid w:val="00F65944"/>
    <w:rsid w:val="00F769BF"/>
    <w:rsid w:val="00FE65E6"/>
    <w:rsid w:val="3C21C408"/>
    <w:rsid w:val="40B4D2BC"/>
    <w:rsid w:val="7433ACFE"/>
    <w:rsid w:val="7C69B1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FD271938-EAC7-4AF6-B415-DF9B57FE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EndnoteText">
    <w:name w:val="endnote text"/>
    <w:basedOn w:val="Normal"/>
    <w:link w:val="EndnoteTextChar"/>
    <w:uiPriority w:val="99"/>
    <w:semiHidden/>
    <w:unhideWhenUsed/>
    <w:rsid w:val="00AC48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48F3"/>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AC48F3"/>
    <w:rPr>
      <w:vertAlign w:val="superscript"/>
    </w:rPr>
  </w:style>
  <w:style w:type="character" w:styleId="Hyperlink">
    <w:name w:val="Hyperlink"/>
    <w:basedOn w:val="DefaultParagraphFont"/>
    <w:uiPriority w:val="99"/>
    <w:semiHidden/>
    <w:unhideWhenUsed/>
    <w:rsid w:val="00AC4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4797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8" Type="http://schemas.openxmlformats.org/officeDocument/2006/relationships/hyperlink" Target="https://www.theguardian.com/society/2019/nov/04/age-of-criminal-responsibility-must-be-raised-say-experts" TargetMode="External"/><Relationship Id="rId3" Type="http://schemas.openxmlformats.org/officeDocument/2006/relationships/hyperlink" Target="https://www.theguardian.com/society/2019/nov/04/age-of-criminal-responsibility-must-be-raised-say-experts" TargetMode="External"/><Relationship Id="rId7" Type="http://schemas.openxmlformats.org/officeDocument/2006/relationships/hyperlink" Target="https://yjlc.uk/wp-content/uploads/2018/06/ACR.pdf" TargetMode="External"/><Relationship Id="rId2" Type="http://schemas.openxmlformats.org/officeDocument/2006/relationships/hyperlink" Target="https://www.ohchr.org/Documents/HRBodies/CRC/GC24/GeneralComment24.pdf" TargetMode="External"/><Relationship Id="rId1" Type="http://schemas.openxmlformats.org/officeDocument/2006/relationships/hyperlink" Target="https://www2.ohchr.org/english/bodies/crc/docs/CRC.C.GC.10.pdf" TargetMode="External"/><Relationship Id="rId6" Type="http://schemas.openxmlformats.org/officeDocument/2006/relationships/hyperlink" Target="https://royalsociety.org/~/media/Royal_Society_Content/policy/projects/brain-waves/Brain-Waves-4.pdf" TargetMode="External"/><Relationship Id="rId5" Type="http://schemas.openxmlformats.org/officeDocument/2006/relationships/hyperlink" Target="https://www.equalityhumanrights.com/en/our-work/news/government-must-improve-record-stopping-cruel-and-inhuman-treatment" TargetMode="External"/><Relationship Id="rId4" Type="http://schemas.openxmlformats.org/officeDocument/2006/relationships/hyperlink" Target="https://yjlc.uk/wp-content/uploads/2018/06/ACR.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50726"/>
    <w:rsid w:val="004E2C7C"/>
    <w:rsid w:val="00B710F9"/>
    <w:rsid w:val="00BA195A"/>
    <w:rsid w:val="00DA0B43"/>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B4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BB158542E944615964B1A192CB55E78">
    <w:name w:val="DBB158542E944615964B1A192CB55E78"/>
    <w:rsid w:val="00DA0B4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2" ma:contentTypeDescription="Create a new document." ma:contentTypeScope="" ma:versionID="34c98f3d8b61276869a9afc8e4be56a9">
  <xsd:schema xmlns:xsd="http://www.w3.org/2001/XMLSchema" xmlns:xs="http://www.w3.org/2001/XMLSchema" xmlns:p="http://schemas.microsoft.com/office/2006/metadata/properties" xmlns:ns2="dadecd40-cd3b-4cec-a2da-884faf0413cf" targetNamespace="http://schemas.microsoft.com/office/2006/metadata/properties" ma:root="true" ma:fieldsID="e6058243866ebef492e1248e2365ce1a" ns2:_="">
    <xsd:import namespace="dadecd40-cd3b-4cec-a2da-884faf041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dadecd40-cd3b-4cec-a2da-884faf0413cf"/>
    <ds:schemaRef ds:uri="http://purl.org/dc/term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584C7AE2-9CC8-4F31-A822-91A7C9DA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16610-6F22-44CC-823D-32F52F54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47DACE55</Template>
  <TotalTime>13</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12</cp:revision>
  <dcterms:created xsi:type="dcterms:W3CDTF">2020-01-10T11:04:00Z</dcterms:created>
  <dcterms:modified xsi:type="dcterms:W3CDTF">2020-01-15T16:00:00Z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